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7C11" w14:textId="77777777" w:rsidR="0089252F" w:rsidRPr="0098074E" w:rsidRDefault="0089252F" w:rsidP="0098074E">
      <w:pPr>
        <w:spacing w:after="0" w:line="240" w:lineRule="auto"/>
        <w:jc w:val="center"/>
        <w:rPr>
          <w:b/>
        </w:rPr>
      </w:pPr>
      <w:r w:rsidRPr="0098074E">
        <w:rPr>
          <w:b/>
        </w:rPr>
        <w:t>California State University</w:t>
      </w:r>
      <w:r w:rsidR="003727BB" w:rsidRPr="0098074E">
        <w:rPr>
          <w:b/>
        </w:rPr>
        <w:t>,</w:t>
      </w:r>
      <w:r w:rsidRPr="0098074E">
        <w:rPr>
          <w:b/>
        </w:rPr>
        <w:t xml:space="preserve"> Fullerton - Multiple Subject Credential Program</w:t>
      </w:r>
    </w:p>
    <w:p w14:paraId="64EE856B" w14:textId="77777777" w:rsidR="0089252F" w:rsidRPr="0098074E" w:rsidRDefault="0089252F" w:rsidP="0098074E">
      <w:pPr>
        <w:spacing w:after="0" w:line="240" w:lineRule="auto"/>
        <w:jc w:val="center"/>
        <w:rPr>
          <w:b/>
        </w:rPr>
      </w:pPr>
      <w:r w:rsidRPr="0098074E">
        <w:rPr>
          <w:b/>
        </w:rPr>
        <w:t>Reading</w:t>
      </w:r>
      <w:r w:rsidR="00896C27">
        <w:rPr>
          <w:b/>
        </w:rPr>
        <w:t>/</w:t>
      </w:r>
      <w:r w:rsidRPr="0098074E">
        <w:rPr>
          <w:b/>
        </w:rPr>
        <w:t>Language Arts Performance Objectives</w:t>
      </w:r>
    </w:p>
    <w:p w14:paraId="2D8153A2" w14:textId="502FD37A" w:rsidR="005B5687" w:rsidRDefault="005B5687" w:rsidP="004A03FD">
      <w:pPr>
        <w:spacing w:after="0" w:line="240" w:lineRule="auto"/>
        <w:jc w:val="center"/>
        <w:rPr>
          <w:b/>
          <w:sz w:val="20"/>
          <w:szCs w:val="20"/>
        </w:rPr>
      </w:pPr>
    </w:p>
    <w:p w14:paraId="55D0D752" w14:textId="77777777" w:rsidR="004A03FD" w:rsidRPr="0058422B" w:rsidRDefault="004A03FD" w:rsidP="0089252F">
      <w:pPr>
        <w:spacing w:line="240" w:lineRule="auto"/>
        <w:jc w:val="center"/>
        <w:rPr>
          <w:b/>
          <w:sz w:val="20"/>
          <w:szCs w:val="20"/>
        </w:rPr>
      </w:pPr>
    </w:p>
    <w:p w14:paraId="557227B2" w14:textId="39334D5F" w:rsidR="0089252F" w:rsidRPr="0058422B" w:rsidRDefault="0089252F" w:rsidP="003A4469">
      <w:pPr>
        <w:spacing w:after="240"/>
        <w:rPr>
          <w:sz w:val="20"/>
          <w:szCs w:val="20"/>
        </w:rPr>
      </w:pPr>
      <w:r w:rsidRPr="0058422B">
        <w:rPr>
          <w:sz w:val="20"/>
          <w:szCs w:val="20"/>
        </w:rPr>
        <w:t xml:space="preserve">Teacher Candidate’s Name: </w:t>
      </w:r>
      <w:r w:rsidRPr="003A4469">
        <w:rPr>
          <w:sz w:val="20"/>
          <w:szCs w:val="20"/>
          <w:u w:val="single"/>
        </w:rPr>
        <w:softHyphen/>
      </w:r>
      <w:r w:rsidRPr="003A4469">
        <w:rPr>
          <w:sz w:val="20"/>
          <w:szCs w:val="20"/>
          <w:u w:val="single"/>
        </w:rPr>
        <w:softHyphen/>
      </w:r>
      <w:r w:rsidRPr="003A4469">
        <w:rPr>
          <w:sz w:val="20"/>
          <w:szCs w:val="20"/>
          <w:u w:val="single"/>
        </w:rPr>
        <w:softHyphen/>
      </w:r>
      <w:r w:rsidRPr="003A4469">
        <w:rPr>
          <w:sz w:val="20"/>
          <w:szCs w:val="20"/>
          <w:u w:val="single"/>
        </w:rPr>
        <w:softHyphen/>
        <w:t>____________________________________________________________</w:t>
      </w:r>
      <w:r w:rsidR="007D6C41">
        <w:rPr>
          <w:sz w:val="20"/>
          <w:szCs w:val="20"/>
          <w:u w:val="single"/>
        </w:rPr>
        <w:t>_</w:t>
      </w:r>
      <w:r w:rsidRPr="003A4469">
        <w:rPr>
          <w:sz w:val="20"/>
          <w:szCs w:val="20"/>
          <w:u w:val="single"/>
        </w:rPr>
        <w:t>_____</w:t>
      </w:r>
    </w:p>
    <w:p w14:paraId="55D7D089" w14:textId="392F0DDB" w:rsidR="006554B9" w:rsidRDefault="0089252F" w:rsidP="006554B9">
      <w:pPr>
        <w:spacing w:after="240"/>
        <w:rPr>
          <w:sz w:val="20"/>
          <w:szCs w:val="20"/>
        </w:rPr>
      </w:pPr>
      <w:r w:rsidRPr="0058422B">
        <w:rPr>
          <w:sz w:val="20"/>
          <w:szCs w:val="20"/>
        </w:rPr>
        <w:t>Block:</w:t>
      </w:r>
      <w:r w:rsidRPr="0058422B">
        <w:rPr>
          <w:sz w:val="20"/>
          <w:szCs w:val="20"/>
        </w:rPr>
        <w:tab/>
      </w:r>
      <w:r w:rsidRPr="003A4469">
        <w:rPr>
          <w:sz w:val="20"/>
          <w:szCs w:val="20"/>
          <w:u w:val="single"/>
        </w:rPr>
        <w:t>_____</w:t>
      </w:r>
      <w:r w:rsidR="007D6C41">
        <w:rPr>
          <w:sz w:val="20"/>
          <w:szCs w:val="20"/>
          <w:u w:val="single"/>
        </w:rPr>
        <w:t>____</w:t>
      </w:r>
      <w:r w:rsidRPr="003A4469">
        <w:rPr>
          <w:sz w:val="20"/>
          <w:szCs w:val="20"/>
          <w:u w:val="single"/>
        </w:rPr>
        <w:t>___</w:t>
      </w:r>
      <w:r w:rsidR="007F3974">
        <w:rPr>
          <w:sz w:val="20"/>
          <w:szCs w:val="20"/>
        </w:rPr>
        <w:t xml:space="preserve">        </w:t>
      </w:r>
      <w:r w:rsidR="007D6C41">
        <w:rPr>
          <w:sz w:val="20"/>
          <w:szCs w:val="20"/>
        </w:rPr>
        <w:tab/>
      </w:r>
      <w:r w:rsidR="007D6C41">
        <w:rPr>
          <w:sz w:val="20"/>
          <w:szCs w:val="20"/>
        </w:rPr>
        <w:tab/>
      </w:r>
      <w:r w:rsidR="007D6C41">
        <w:rPr>
          <w:sz w:val="20"/>
          <w:szCs w:val="20"/>
        </w:rPr>
        <w:tab/>
      </w:r>
      <w:r w:rsidR="007D6C41">
        <w:rPr>
          <w:sz w:val="20"/>
          <w:szCs w:val="20"/>
        </w:rPr>
        <w:tab/>
      </w:r>
      <w:r w:rsidRPr="0058422B">
        <w:rPr>
          <w:sz w:val="20"/>
          <w:szCs w:val="20"/>
        </w:rPr>
        <w:t>Academic Year</w:t>
      </w:r>
      <w:r w:rsidR="005B5687">
        <w:rPr>
          <w:sz w:val="20"/>
          <w:szCs w:val="20"/>
        </w:rPr>
        <w:t>(s)</w:t>
      </w:r>
      <w:r w:rsidRPr="0058422B">
        <w:rPr>
          <w:sz w:val="20"/>
          <w:szCs w:val="20"/>
        </w:rPr>
        <w:t xml:space="preserve">: </w:t>
      </w:r>
      <w:r w:rsidRPr="003A4469">
        <w:rPr>
          <w:sz w:val="20"/>
          <w:szCs w:val="20"/>
          <w:u w:val="single"/>
        </w:rPr>
        <w:t>____________</w:t>
      </w:r>
      <w:r w:rsidR="007D6C41">
        <w:rPr>
          <w:sz w:val="20"/>
          <w:szCs w:val="20"/>
          <w:u w:val="single"/>
        </w:rPr>
        <w:t>___________</w:t>
      </w:r>
      <w:r w:rsidR="007F3974">
        <w:rPr>
          <w:sz w:val="20"/>
          <w:szCs w:val="20"/>
          <w:u w:val="single"/>
        </w:rPr>
        <w:t xml:space="preserve">  </w:t>
      </w:r>
      <w:r w:rsidR="007F3974">
        <w:rPr>
          <w:sz w:val="20"/>
          <w:szCs w:val="20"/>
        </w:rPr>
        <w:t xml:space="preserve">        </w:t>
      </w:r>
    </w:p>
    <w:p w14:paraId="6359FF60" w14:textId="304BD3C1" w:rsidR="00614BB5" w:rsidRPr="00B54956" w:rsidRDefault="007F3974" w:rsidP="0089252F">
      <w:pPr>
        <w:rPr>
          <w:sz w:val="20"/>
          <w:szCs w:val="20"/>
        </w:rPr>
      </w:pPr>
      <w:r>
        <w:rPr>
          <w:sz w:val="20"/>
          <w:szCs w:val="20"/>
        </w:rPr>
        <w:t>Grade Level</w:t>
      </w:r>
      <w:r w:rsidR="006554B9">
        <w:rPr>
          <w:sz w:val="20"/>
          <w:szCs w:val="20"/>
        </w:rPr>
        <w:t xml:space="preserve"> Placement 1:</w:t>
      </w:r>
      <w:r>
        <w:rPr>
          <w:sz w:val="20"/>
          <w:szCs w:val="20"/>
        </w:rPr>
        <w:t xml:space="preserve">   </w:t>
      </w:r>
      <w:r w:rsidRPr="003A4469">
        <w:rPr>
          <w:sz w:val="20"/>
          <w:szCs w:val="20"/>
          <w:u w:val="single"/>
        </w:rPr>
        <w:t>_______</w:t>
      </w:r>
      <w:r w:rsidR="007D6C41">
        <w:rPr>
          <w:sz w:val="20"/>
          <w:szCs w:val="20"/>
          <w:u w:val="single"/>
        </w:rPr>
        <w:t>____</w:t>
      </w:r>
      <w:r w:rsidRPr="003A4469">
        <w:rPr>
          <w:sz w:val="20"/>
          <w:szCs w:val="20"/>
          <w:u w:val="single"/>
        </w:rPr>
        <w:t>____</w:t>
      </w:r>
      <w:r w:rsidR="007D6C41">
        <w:rPr>
          <w:sz w:val="20"/>
          <w:szCs w:val="20"/>
        </w:rPr>
        <w:t>___</w:t>
      </w:r>
      <w:r w:rsidR="007D6C41">
        <w:rPr>
          <w:sz w:val="20"/>
          <w:szCs w:val="20"/>
        </w:rPr>
        <w:tab/>
      </w:r>
      <w:r w:rsidR="007D6C41">
        <w:rPr>
          <w:sz w:val="20"/>
          <w:szCs w:val="20"/>
        </w:rPr>
        <w:tab/>
      </w:r>
      <w:r w:rsidR="006554B9">
        <w:rPr>
          <w:sz w:val="20"/>
          <w:szCs w:val="20"/>
        </w:rPr>
        <w:t xml:space="preserve">Grade Level Placement 2:   </w:t>
      </w:r>
      <w:r w:rsidR="006554B9" w:rsidRPr="003A4469">
        <w:rPr>
          <w:sz w:val="20"/>
          <w:szCs w:val="20"/>
          <w:u w:val="single"/>
        </w:rPr>
        <w:t>______</w:t>
      </w:r>
      <w:r w:rsidR="007D6C41">
        <w:rPr>
          <w:sz w:val="20"/>
          <w:szCs w:val="20"/>
          <w:u w:val="single"/>
        </w:rPr>
        <w:t>____</w:t>
      </w:r>
      <w:r w:rsidR="006554B9" w:rsidRPr="003A4469">
        <w:rPr>
          <w:sz w:val="20"/>
          <w:szCs w:val="20"/>
          <w:u w:val="single"/>
        </w:rPr>
        <w:t>______</w:t>
      </w:r>
      <w:r w:rsidR="006554B9">
        <w:rPr>
          <w:sz w:val="20"/>
          <w:szCs w:val="20"/>
          <w:u w:val="single"/>
        </w:rPr>
        <w:t xml:space="preserve">    </w:t>
      </w:r>
    </w:p>
    <w:p w14:paraId="4E18E488" w14:textId="0C4AE550" w:rsidR="0089252F" w:rsidRPr="0058422B" w:rsidRDefault="0089252F" w:rsidP="0089252F">
      <w:pPr>
        <w:rPr>
          <w:sz w:val="18"/>
          <w:szCs w:val="18"/>
        </w:rPr>
      </w:pPr>
      <w:r w:rsidRPr="0058422B">
        <w:rPr>
          <w:sz w:val="18"/>
          <w:szCs w:val="18"/>
        </w:rPr>
        <w:t xml:space="preserve">For each performance objective listed below, </w:t>
      </w:r>
      <w:r>
        <w:rPr>
          <w:sz w:val="18"/>
          <w:szCs w:val="18"/>
        </w:rPr>
        <w:t xml:space="preserve">obtain initials </w:t>
      </w:r>
      <w:r w:rsidRPr="0058422B">
        <w:rPr>
          <w:sz w:val="18"/>
          <w:szCs w:val="18"/>
        </w:rPr>
        <w:t xml:space="preserve">in the box that notes the individual who is required to </w:t>
      </w:r>
      <w:r>
        <w:rPr>
          <w:sz w:val="18"/>
          <w:szCs w:val="18"/>
        </w:rPr>
        <w:t>verify</w:t>
      </w:r>
      <w:r w:rsidRPr="0058422B">
        <w:rPr>
          <w:sz w:val="18"/>
          <w:szCs w:val="18"/>
        </w:rPr>
        <w:t xml:space="preserve"> the teacher candidate’s progress in meeting the objective. </w:t>
      </w:r>
      <w:r>
        <w:rPr>
          <w:sz w:val="18"/>
          <w:szCs w:val="18"/>
        </w:rPr>
        <w:t>Submit this form to block leader at the end of final semester of clinical experience.</w:t>
      </w: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020"/>
        <w:gridCol w:w="930"/>
        <w:gridCol w:w="930"/>
        <w:gridCol w:w="930"/>
      </w:tblGrid>
      <w:tr w:rsidR="0089252F" w:rsidRPr="0058422B" w14:paraId="1ECA3FC3" w14:textId="77777777" w:rsidTr="003A4469">
        <w:trPr>
          <w:trHeight w:val="70"/>
        </w:trPr>
        <w:tc>
          <w:tcPr>
            <w:tcW w:w="7020" w:type="dxa"/>
          </w:tcPr>
          <w:p w14:paraId="2C04237A" w14:textId="77777777" w:rsidR="0089252F" w:rsidRPr="0058422B" w:rsidRDefault="0089252F" w:rsidP="00817350">
            <w:pPr>
              <w:rPr>
                <w:b/>
                <w:sz w:val="18"/>
                <w:szCs w:val="18"/>
              </w:rPr>
            </w:pPr>
            <w:r w:rsidRPr="0058422B">
              <w:rPr>
                <w:b/>
                <w:sz w:val="18"/>
                <w:szCs w:val="18"/>
              </w:rPr>
              <w:t>Objective</w:t>
            </w:r>
          </w:p>
        </w:tc>
        <w:tc>
          <w:tcPr>
            <w:tcW w:w="930" w:type="dxa"/>
          </w:tcPr>
          <w:p w14:paraId="35D1D2A4" w14:textId="77777777" w:rsidR="0089252F" w:rsidRPr="0058422B" w:rsidRDefault="0089252F" w:rsidP="00817350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4D8AB6D1" w14:textId="77777777" w:rsidR="0089252F" w:rsidRPr="0058422B" w:rsidRDefault="0089252F" w:rsidP="00817350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5D945693" w14:textId="77777777" w:rsidR="0089252F" w:rsidRPr="0058422B" w:rsidRDefault="0089252F" w:rsidP="00817350">
            <w:pPr>
              <w:rPr>
                <w:sz w:val="18"/>
                <w:szCs w:val="18"/>
              </w:rPr>
            </w:pPr>
          </w:p>
        </w:tc>
      </w:tr>
      <w:tr w:rsidR="0089252F" w:rsidRPr="0058422B" w14:paraId="04EDD6CD" w14:textId="77777777" w:rsidTr="003A4469">
        <w:tc>
          <w:tcPr>
            <w:tcW w:w="7020" w:type="dxa"/>
          </w:tcPr>
          <w:p w14:paraId="4FFCE711" w14:textId="77777777" w:rsidR="0089252F" w:rsidRPr="0058422B" w:rsidRDefault="0089252F" w:rsidP="00817350">
            <w:pPr>
              <w:rPr>
                <w:sz w:val="18"/>
                <w:szCs w:val="18"/>
              </w:rPr>
            </w:pPr>
            <w:r w:rsidRPr="0058422B">
              <w:rPr>
                <w:sz w:val="18"/>
                <w:szCs w:val="18"/>
              </w:rPr>
              <w:t>Upon completion of the program the teacher candidate will demonstrate:</w:t>
            </w:r>
          </w:p>
        </w:tc>
        <w:tc>
          <w:tcPr>
            <w:tcW w:w="930" w:type="dxa"/>
          </w:tcPr>
          <w:p w14:paraId="34395F1A" w14:textId="77777777" w:rsidR="0089252F" w:rsidRPr="003727BB" w:rsidRDefault="0089252F" w:rsidP="00817350">
            <w:pPr>
              <w:jc w:val="center"/>
              <w:rPr>
                <w:b/>
                <w:sz w:val="16"/>
                <w:szCs w:val="16"/>
              </w:rPr>
            </w:pPr>
            <w:r w:rsidRPr="003727BB">
              <w:rPr>
                <w:b/>
                <w:sz w:val="16"/>
                <w:szCs w:val="16"/>
              </w:rPr>
              <w:t>University Instructor</w:t>
            </w:r>
          </w:p>
        </w:tc>
        <w:tc>
          <w:tcPr>
            <w:tcW w:w="930" w:type="dxa"/>
          </w:tcPr>
          <w:p w14:paraId="18023FD1" w14:textId="77777777" w:rsidR="0089252F" w:rsidRPr="003727BB" w:rsidRDefault="0089252F" w:rsidP="00817350">
            <w:pPr>
              <w:jc w:val="center"/>
              <w:rPr>
                <w:b/>
                <w:sz w:val="16"/>
                <w:szCs w:val="16"/>
              </w:rPr>
            </w:pPr>
            <w:r w:rsidRPr="003727BB">
              <w:rPr>
                <w:b/>
                <w:sz w:val="16"/>
                <w:szCs w:val="16"/>
              </w:rPr>
              <w:t>Mentor Teacher</w:t>
            </w:r>
          </w:p>
        </w:tc>
        <w:tc>
          <w:tcPr>
            <w:tcW w:w="930" w:type="dxa"/>
          </w:tcPr>
          <w:p w14:paraId="2956E076" w14:textId="77777777" w:rsidR="0089252F" w:rsidRPr="003727BB" w:rsidRDefault="0089252F" w:rsidP="00817350">
            <w:pPr>
              <w:jc w:val="center"/>
              <w:rPr>
                <w:b/>
                <w:sz w:val="16"/>
                <w:szCs w:val="16"/>
              </w:rPr>
            </w:pPr>
            <w:r w:rsidRPr="003727BB">
              <w:rPr>
                <w:b/>
                <w:sz w:val="16"/>
                <w:szCs w:val="16"/>
              </w:rPr>
              <w:t>Teacher Candidate</w:t>
            </w:r>
          </w:p>
        </w:tc>
      </w:tr>
      <w:tr w:rsidR="0089252F" w:rsidRPr="0058422B" w14:paraId="2D0ED9EF" w14:textId="77777777" w:rsidTr="003A4469">
        <w:tc>
          <w:tcPr>
            <w:tcW w:w="7020" w:type="dxa"/>
          </w:tcPr>
          <w:p w14:paraId="33563856" w14:textId="77777777" w:rsidR="0089252F" w:rsidRPr="0058422B" w:rsidRDefault="0089252F" w:rsidP="005B5687">
            <w:pPr>
              <w:ind w:left="162" w:hanging="162"/>
              <w:rPr>
                <w:sz w:val="18"/>
                <w:szCs w:val="18"/>
              </w:rPr>
            </w:pPr>
            <w:r w:rsidRPr="0058422B">
              <w:rPr>
                <w:sz w:val="18"/>
                <w:szCs w:val="18"/>
              </w:rPr>
              <w:t xml:space="preserve">1. Knowledge of the research related to </w:t>
            </w:r>
            <w:r>
              <w:rPr>
                <w:sz w:val="18"/>
                <w:szCs w:val="18"/>
              </w:rPr>
              <w:t>advancing the</w:t>
            </w:r>
            <w:r w:rsidRPr="005842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literacy</w:t>
            </w:r>
            <w:r w:rsidRPr="005842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development, especially beginning reading, of</w:t>
            </w:r>
            <w:r w:rsidRPr="0058422B">
              <w:rPr>
                <w:sz w:val="18"/>
                <w:szCs w:val="18"/>
              </w:rPr>
              <w:t xml:space="preserve"> the full range of learners.</w:t>
            </w:r>
          </w:p>
        </w:tc>
        <w:tc>
          <w:tcPr>
            <w:tcW w:w="930" w:type="dxa"/>
          </w:tcPr>
          <w:p w14:paraId="0DBC081F" w14:textId="3955A845" w:rsidR="0089252F" w:rsidRPr="0058422B" w:rsidRDefault="0089252F" w:rsidP="0081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01904EAE" w14:textId="4FF91C79" w:rsidR="0089252F" w:rsidRPr="0058422B" w:rsidRDefault="00B54956" w:rsidP="00817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30" w:type="dxa"/>
          </w:tcPr>
          <w:p w14:paraId="18270C48" w14:textId="26252739" w:rsidR="0089252F" w:rsidRPr="0058422B" w:rsidRDefault="0089252F" w:rsidP="00817350">
            <w:pPr>
              <w:jc w:val="center"/>
              <w:rPr>
                <w:sz w:val="18"/>
                <w:szCs w:val="18"/>
              </w:rPr>
            </w:pPr>
          </w:p>
        </w:tc>
      </w:tr>
      <w:tr w:rsidR="0089252F" w:rsidRPr="0058422B" w14:paraId="60294DA2" w14:textId="77777777" w:rsidTr="003A4469">
        <w:tc>
          <w:tcPr>
            <w:tcW w:w="7020" w:type="dxa"/>
          </w:tcPr>
          <w:p w14:paraId="590E1CB6" w14:textId="60903BE2" w:rsidR="0089252F" w:rsidRPr="0058422B" w:rsidRDefault="00B54956" w:rsidP="005B5687">
            <w:pP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9252F" w:rsidRPr="0058422B">
              <w:rPr>
                <w:sz w:val="18"/>
                <w:szCs w:val="18"/>
              </w:rPr>
              <w:t>. Familiarity with the California Preschool Learning Foundations in Language and Literacy.</w:t>
            </w:r>
          </w:p>
        </w:tc>
        <w:tc>
          <w:tcPr>
            <w:tcW w:w="930" w:type="dxa"/>
          </w:tcPr>
          <w:p w14:paraId="0D7062F6" w14:textId="67BDBDD3" w:rsidR="0089252F" w:rsidRPr="0058422B" w:rsidRDefault="0089252F" w:rsidP="0081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2B913FF9" w14:textId="06AB1654" w:rsidR="0089252F" w:rsidRPr="0058422B" w:rsidRDefault="00B54956" w:rsidP="00817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30" w:type="dxa"/>
          </w:tcPr>
          <w:p w14:paraId="7E500DAB" w14:textId="752822D6" w:rsidR="0089252F" w:rsidRPr="0058422B" w:rsidRDefault="0089252F" w:rsidP="00817350">
            <w:pPr>
              <w:jc w:val="center"/>
              <w:rPr>
                <w:sz w:val="18"/>
                <w:szCs w:val="18"/>
              </w:rPr>
            </w:pPr>
          </w:p>
        </w:tc>
      </w:tr>
      <w:tr w:rsidR="0089252F" w:rsidRPr="0058422B" w14:paraId="72F98CC0" w14:textId="77777777" w:rsidTr="003A4469">
        <w:tc>
          <w:tcPr>
            <w:tcW w:w="7020" w:type="dxa"/>
          </w:tcPr>
          <w:p w14:paraId="2B942B13" w14:textId="3E5423E0" w:rsidR="0089252F" w:rsidRPr="0058422B" w:rsidRDefault="00B54956" w:rsidP="005B5687">
            <w:pP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9252F" w:rsidRPr="0058422B">
              <w:rPr>
                <w:sz w:val="18"/>
                <w:szCs w:val="18"/>
              </w:rPr>
              <w:t>. Familiarity with current state</w:t>
            </w:r>
            <w:r w:rsidR="0089252F">
              <w:rPr>
                <w:sz w:val="18"/>
                <w:szCs w:val="18"/>
              </w:rPr>
              <w:t xml:space="preserve"> preschool and K-12</w:t>
            </w:r>
            <w:r w:rsidR="0089252F" w:rsidRPr="0058422B">
              <w:rPr>
                <w:sz w:val="18"/>
                <w:szCs w:val="18"/>
              </w:rPr>
              <w:t xml:space="preserve"> litera</w:t>
            </w:r>
            <w:r w:rsidR="0089252F">
              <w:rPr>
                <w:sz w:val="18"/>
                <w:szCs w:val="18"/>
              </w:rPr>
              <w:t>cy/language arts frameworks.</w:t>
            </w:r>
          </w:p>
        </w:tc>
        <w:tc>
          <w:tcPr>
            <w:tcW w:w="930" w:type="dxa"/>
          </w:tcPr>
          <w:p w14:paraId="6E454EF7" w14:textId="3857F6B6" w:rsidR="0089252F" w:rsidRPr="0058422B" w:rsidRDefault="0089252F" w:rsidP="0081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73F35C7A" w14:textId="7C4C0AE5" w:rsidR="0089252F" w:rsidRPr="0058422B" w:rsidRDefault="00B54956" w:rsidP="00817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30" w:type="dxa"/>
          </w:tcPr>
          <w:p w14:paraId="5A2FB32C" w14:textId="21A07D36" w:rsidR="0089252F" w:rsidRPr="0058422B" w:rsidRDefault="0089252F" w:rsidP="00817350">
            <w:pPr>
              <w:jc w:val="center"/>
              <w:rPr>
                <w:sz w:val="18"/>
                <w:szCs w:val="18"/>
              </w:rPr>
            </w:pPr>
          </w:p>
        </w:tc>
      </w:tr>
      <w:tr w:rsidR="00B54956" w:rsidRPr="0058422B" w14:paraId="13C13349" w14:textId="77777777" w:rsidTr="003A4469">
        <w:tc>
          <w:tcPr>
            <w:tcW w:w="7020" w:type="dxa"/>
          </w:tcPr>
          <w:p w14:paraId="5FAF48BE" w14:textId="40D037C8" w:rsidR="00B54956" w:rsidRPr="0058422B" w:rsidRDefault="00B54956" w:rsidP="00B54956">
            <w:pP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58422B">
              <w:rPr>
                <w:sz w:val="18"/>
                <w:szCs w:val="18"/>
              </w:rPr>
              <w:t xml:space="preserve"> Familiarity with California’s Common Core State Standards for English-Language Arts and Literacy in History/Social Studies, Science and Technical Subjects.</w:t>
            </w:r>
          </w:p>
        </w:tc>
        <w:tc>
          <w:tcPr>
            <w:tcW w:w="930" w:type="dxa"/>
          </w:tcPr>
          <w:p w14:paraId="62868A25" w14:textId="77777777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5E6EA793" w14:textId="77777777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561F8F16" w14:textId="77777777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</w:tr>
      <w:tr w:rsidR="00B54956" w:rsidRPr="0058422B" w14:paraId="6FB74975" w14:textId="77777777" w:rsidTr="003A4469">
        <w:tc>
          <w:tcPr>
            <w:tcW w:w="7020" w:type="dxa"/>
          </w:tcPr>
          <w:p w14:paraId="6A99A5EC" w14:textId="77777777" w:rsidR="00B54956" w:rsidRPr="0058422B" w:rsidRDefault="00B54956" w:rsidP="00B54956">
            <w:pPr>
              <w:ind w:left="162" w:hanging="162"/>
              <w:rPr>
                <w:sz w:val="18"/>
                <w:szCs w:val="18"/>
              </w:rPr>
            </w:pPr>
            <w:r w:rsidRPr="0058422B">
              <w:rPr>
                <w:sz w:val="18"/>
                <w:szCs w:val="18"/>
              </w:rPr>
              <w:t>5. Knowledge of the</w:t>
            </w:r>
            <w:r>
              <w:rPr>
                <w:sz w:val="18"/>
                <w:szCs w:val="18"/>
              </w:rPr>
              <w:t xml:space="preserve"> assets and</w:t>
            </w:r>
            <w:r w:rsidRPr="0058422B">
              <w:rPr>
                <w:sz w:val="18"/>
                <w:szCs w:val="18"/>
              </w:rPr>
              <w:t xml:space="preserve"> role of the home and community in students’ literacy development and the ability to learn from and collaborate with the home and community.</w:t>
            </w:r>
          </w:p>
        </w:tc>
        <w:tc>
          <w:tcPr>
            <w:tcW w:w="930" w:type="dxa"/>
          </w:tcPr>
          <w:p w14:paraId="237F3876" w14:textId="24F032F9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62A5C5A8" w14:textId="2DE03055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0C9CA01E" w14:textId="0CAAF75C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</w:tr>
      <w:tr w:rsidR="00B54956" w:rsidRPr="0058422B" w14:paraId="239AADF6" w14:textId="77777777" w:rsidTr="003A4469">
        <w:tc>
          <w:tcPr>
            <w:tcW w:w="7020" w:type="dxa"/>
          </w:tcPr>
          <w:p w14:paraId="6589EDEF" w14:textId="77777777" w:rsidR="00B54956" w:rsidRPr="006554B9" w:rsidRDefault="00B54956" w:rsidP="00B54956">
            <w:pPr>
              <w:pStyle w:val="CommentText"/>
              <w:ind w:left="158" w:hanging="158"/>
              <w:rPr>
                <w:sz w:val="18"/>
                <w:szCs w:val="18"/>
              </w:rPr>
            </w:pPr>
            <w:r w:rsidRPr="006554B9">
              <w:rPr>
                <w:sz w:val="18"/>
                <w:szCs w:val="18"/>
              </w:rPr>
              <w:t>6.  Knowledge of and ability to implement a variety of instructional approaches (e.g., direct instruction, inquiry-based learning, and collaborative learning).</w:t>
            </w:r>
          </w:p>
        </w:tc>
        <w:tc>
          <w:tcPr>
            <w:tcW w:w="930" w:type="dxa"/>
          </w:tcPr>
          <w:p w14:paraId="7779E155" w14:textId="15E04D08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19C66F38" w14:textId="58F7DFC1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6CA57C33" w14:textId="384FE3A1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</w:tr>
      <w:tr w:rsidR="00B54956" w:rsidRPr="0058422B" w14:paraId="1FFAC9BD" w14:textId="77777777" w:rsidTr="003A4469">
        <w:tc>
          <w:tcPr>
            <w:tcW w:w="7020" w:type="dxa"/>
          </w:tcPr>
          <w:p w14:paraId="00106C8B" w14:textId="77777777" w:rsidR="00B54956" w:rsidRPr="0058422B" w:rsidRDefault="00B54956" w:rsidP="00B54956">
            <w:pPr>
              <w:ind w:left="162" w:hanging="162"/>
              <w:rPr>
                <w:sz w:val="18"/>
                <w:szCs w:val="18"/>
              </w:rPr>
            </w:pPr>
            <w:r w:rsidRPr="0058422B">
              <w:rPr>
                <w:sz w:val="18"/>
                <w:szCs w:val="18"/>
              </w:rPr>
              <w:t>7. Knowledge of and ability to plan a systematic progression of instruction in the language arts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30" w:type="dxa"/>
          </w:tcPr>
          <w:p w14:paraId="1120D07D" w14:textId="6BDC5C45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32EB0389" w14:textId="7FCCB986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7CF361C5" w14:textId="6BF650A0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</w:tr>
      <w:tr w:rsidR="00B54956" w:rsidRPr="0058422B" w14:paraId="730B8C40" w14:textId="77777777" w:rsidTr="003A4469">
        <w:tc>
          <w:tcPr>
            <w:tcW w:w="7020" w:type="dxa"/>
          </w:tcPr>
          <w:p w14:paraId="731A2535" w14:textId="77777777" w:rsidR="00B54956" w:rsidRPr="0058422B" w:rsidRDefault="00B54956" w:rsidP="00B54956">
            <w:pPr>
              <w:ind w:left="162" w:hanging="162"/>
              <w:rPr>
                <w:sz w:val="18"/>
                <w:szCs w:val="18"/>
              </w:rPr>
            </w:pPr>
            <w:r w:rsidRPr="0058422B">
              <w:rPr>
                <w:sz w:val="18"/>
                <w:szCs w:val="18"/>
              </w:rPr>
              <w:t>8. Knowledge of and ability to teach the foundation</w:t>
            </w:r>
            <w:r>
              <w:rPr>
                <w:sz w:val="18"/>
                <w:szCs w:val="18"/>
              </w:rPr>
              <w:t>al skills</w:t>
            </w:r>
            <w:r w:rsidRPr="0058422B">
              <w:rPr>
                <w:sz w:val="18"/>
                <w:szCs w:val="18"/>
              </w:rPr>
              <w:t xml:space="preserve"> of literacy, including: </w:t>
            </w:r>
          </w:p>
          <w:p w14:paraId="4D126261" w14:textId="77777777" w:rsidR="00B54956" w:rsidRPr="0058422B" w:rsidRDefault="00B54956" w:rsidP="00B54956">
            <w:pPr>
              <w:ind w:left="162"/>
              <w:rPr>
                <w:sz w:val="18"/>
                <w:szCs w:val="18"/>
              </w:rPr>
            </w:pPr>
            <w:r w:rsidRPr="0058422B">
              <w:rPr>
                <w:sz w:val="18"/>
                <w:szCs w:val="18"/>
              </w:rPr>
              <w:t>a. print concepts</w:t>
            </w:r>
          </w:p>
        </w:tc>
        <w:tc>
          <w:tcPr>
            <w:tcW w:w="930" w:type="dxa"/>
          </w:tcPr>
          <w:p w14:paraId="55551474" w14:textId="637FE935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3BFE9197" w14:textId="3D22836D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30241377" w14:textId="7018B906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</w:tr>
      <w:tr w:rsidR="00B54956" w:rsidRPr="0058422B" w14:paraId="6A7F2F33" w14:textId="77777777" w:rsidTr="003A4469">
        <w:tc>
          <w:tcPr>
            <w:tcW w:w="7020" w:type="dxa"/>
          </w:tcPr>
          <w:p w14:paraId="1D107328" w14:textId="77777777" w:rsidR="00B54956" w:rsidRPr="0058422B" w:rsidRDefault="00B54956" w:rsidP="00B54956">
            <w:pPr>
              <w:ind w:left="162"/>
              <w:rPr>
                <w:sz w:val="18"/>
                <w:szCs w:val="18"/>
              </w:rPr>
            </w:pPr>
            <w:r w:rsidRPr="0058422B">
              <w:rPr>
                <w:sz w:val="18"/>
                <w:szCs w:val="18"/>
              </w:rPr>
              <w:t>b. phonological and phonemic awareness</w:t>
            </w:r>
          </w:p>
        </w:tc>
        <w:tc>
          <w:tcPr>
            <w:tcW w:w="930" w:type="dxa"/>
          </w:tcPr>
          <w:p w14:paraId="1B1E7B68" w14:textId="7F7EFF81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7B710F42" w14:textId="461D0075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3B6345F2" w14:textId="61A76770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</w:tr>
      <w:tr w:rsidR="00B54956" w:rsidRPr="0058422B" w14:paraId="56038B31" w14:textId="77777777" w:rsidTr="003A4469">
        <w:tc>
          <w:tcPr>
            <w:tcW w:w="7020" w:type="dxa"/>
          </w:tcPr>
          <w:p w14:paraId="2C42B303" w14:textId="77777777" w:rsidR="00B54956" w:rsidRPr="0058422B" w:rsidRDefault="00B54956" w:rsidP="00B54956">
            <w:pPr>
              <w:ind w:left="162"/>
              <w:rPr>
                <w:sz w:val="18"/>
                <w:szCs w:val="18"/>
              </w:rPr>
            </w:pPr>
            <w:r w:rsidRPr="0058422B">
              <w:rPr>
                <w:sz w:val="18"/>
                <w:szCs w:val="18"/>
              </w:rPr>
              <w:t>c. phonics and word recognition</w:t>
            </w:r>
          </w:p>
        </w:tc>
        <w:tc>
          <w:tcPr>
            <w:tcW w:w="930" w:type="dxa"/>
          </w:tcPr>
          <w:p w14:paraId="15DA3AC2" w14:textId="7837DC88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700CCE95" w14:textId="1214352F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365E2D7B" w14:textId="0FE0E770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</w:tr>
      <w:tr w:rsidR="00B54956" w:rsidRPr="0058422B" w14:paraId="31610404" w14:textId="77777777" w:rsidTr="003A4469">
        <w:tc>
          <w:tcPr>
            <w:tcW w:w="7020" w:type="dxa"/>
          </w:tcPr>
          <w:p w14:paraId="60FFC9E4" w14:textId="77777777" w:rsidR="00B54956" w:rsidRPr="0058422B" w:rsidRDefault="00B54956" w:rsidP="00B54956">
            <w:pPr>
              <w:ind w:left="162"/>
              <w:rPr>
                <w:sz w:val="18"/>
                <w:szCs w:val="18"/>
              </w:rPr>
            </w:pPr>
            <w:r w:rsidRPr="0058422B">
              <w:rPr>
                <w:sz w:val="18"/>
                <w:szCs w:val="18"/>
              </w:rPr>
              <w:t>d. fluency</w:t>
            </w:r>
          </w:p>
        </w:tc>
        <w:tc>
          <w:tcPr>
            <w:tcW w:w="930" w:type="dxa"/>
          </w:tcPr>
          <w:p w14:paraId="4FF109AB" w14:textId="6E3812D8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6D0CB6CA" w14:textId="0ACDAFE0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1BCD6323" w14:textId="421B7CF8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</w:tr>
      <w:tr w:rsidR="00B54956" w:rsidRPr="0058422B" w14:paraId="5CE9CDC3" w14:textId="77777777" w:rsidTr="003A4469">
        <w:tc>
          <w:tcPr>
            <w:tcW w:w="7020" w:type="dxa"/>
          </w:tcPr>
          <w:p w14:paraId="71E3E02C" w14:textId="77777777" w:rsidR="00B54956" w:rsidRPr="0058422B" w:rsidRDefault="00B54956" w:rsidP="00B54956">
            <w:pPr>
              <w:ind w:left="162" w:hanging="162"/>
              <w:rPr>
                <w:sz w:val="18"/>
                <w:szCs w:val="18"/>
              </w:rPr>
            </w:pPr>
            <w:r w:rsidRPr="0058422B">
              <w:rPr>
                <w:sz w:val="18"/>
                <w:szCs w:val="18"/>
              </w:rPr>
              <w:t xml:space="preserve">9. Knowledge of the factors influencing </w:t>
            </w:r>
            <w:r>
              <w:rPr>
                <w:sz w:val="18"/>
                <w:szCs w:val="18"/>
              </w:rPr>
              <w:t>meaning making</w:t>
            </w:r>
            <w:r w:rsidRPr="0058422B">
              <w:rPr>
                <w:sz w:val="18"/>
                <w:szCs w:val="18"/>
              </w:rPr>
              <w:t xml:space="preserve">, including language and background knowledge, and the ability to facilitate students’ use of comprehension strategies (e.g., previewing, predicting, </w:t>
            </w:r>
            <w:proofErr w:type="gramStart"/>
            <w:r w:rsidRPr="0058422B">
              <w:rPr>
                <w:sz w:val="18"/>
                <w:szCs w:val="18"/>
              </w:rPr>
              <w:t>activating</w:t>
            </w:r>
            <w:proofErr w:type="gramEnd"/>
            <w:r w:rsidRPr="0058422B">
              <w:rPr>
                <w:sz w:val="18"/>
                <w:szCs w:val="18"/>
              </w:rPr>
              <w:t xml:space="preserve"> and developing prior knowledge, setting purposes, generating questions, summarizing, making connections, creating visual/graphic representations of text meanings) with texts of appropriately demanding levels of complexity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30" w:type="dxa"/>
          </w:tcPr>
          <w:p w14:paraId="4E1BE634" w14:textId="1CE2ED09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1F5B3A3A" w14:textId="2C491595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09D574AD" w14:textId="3396024C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</w:tr>
      <w:tr w:rsidR="00B54956" w:rsidRPr="0058422B" w14:paraId="33B2980F" w14:textId="77777777" w:rsidTr="003A4469">
        <w:tc>
          <w:tcPr>
            <w:tcW w:w="7020" w:type="dxa"/>
          </w:tcPr>
          <w:p w14:paraId="1087A588" w14:textId="77777777" w:rsidR="00B54956" w:rsidRPr="0058422B" w:rsidRDefault="00B54956" w:rsidP="00B54956">
            <w:pPr>
              <w:ind w:left="16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8422B">
              <w:rPr>
                <w:sz w:val="18"/>
                <w:szCs w:val="18"/>
              </w:rPr>
              <w:t>10. Ability to promote students’ comprehension of and use of evidence from narrative, including teaching students to: a. identify key ideas and details</w:t>
            </w:r>
            <w:r>
              <w:rPr>
                <w:sz w:val="18"/>
                <w:szCs w:val="18"/>
              </w:rPr>
              <w:t>,</w:t>
            </w:r>
            <w:r w:rsidRPr="0058422B"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.</w:t>
            </w:r>
            <w:r w:rsidRPr="0058422B">
              <w:rPr>
                <w:sz w:val="18"/>
                <w:szCs w:val="18"/>
              </w:rPr>
              <w:t xml:space="preserve"> determine the meaning of text language</w:t>
            </w:r>
            <w:r>
              <w:rPr>
                <w:sz w:val="18"/>
                <w:szCs w:val="18"/>
              </w:rPr>
              <w:t>,</w:t>
            </w:r>
            <w:r w:rsidRPr="0058422B">
              <w:rPr>
                <w:sz w:val="18"/>
                <w:szCs w:val="18"/>
              </w:rPr>
              <w:t xml:space="preserve"> c. analyze text types and structures d. distinguish points of view or purposes</w:t>
            </w:r>
            <w:r>
              <w:rPr>
                <w:sz w:val="18"/>
                <w:szCs w:val="18"/>
              </w:rPr>
              <w:t>,</w:t>
            </w:r>
            <w:r w:rsidRPr="0058422B">
              <w:rPr>
                <w:sz w:val="18"/>
                <w:szCs w:val="18"/>
              </w:rPr>
              <w:t xml:space="preserve"> e. integrate and evaluate content presented in different formats and </w:t>
            </w:r>
            <w:proofErr w:type="gramStart"/>
            <w:r w:rsidRPr="0058422B">
              <w:rPr>
                <w:sz w:val="18"/>
                <w:szCs w:val="18"/>
              </w:rPr>
              <w:t>media</w:t>
            </w:r>
            <w:r>
              <w:rPr>
                <w:sz w:val="18"/>
                <w:szCs w:val="18"/>
              </w:rPr>
              <w:t>,</w:t>
            </w:r>
            <w:r w:rsidRPr="005842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   </w:t>
            </w:r>
            <w:r w:rsidRPr="0058422B">
              <w:rPr>
                <w:sz w:val="18"/>
                <w:szCs w:val="18"/>
              </w:rPr>
              <w:t>f. compare and contrast various elements of two or more works of literature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30" w:type="dxa"/>
          </w:tcPr>
          <w:p w14:paraId="3EE61744" w14:textId="48AC3A6D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1C1762C6" w14:textId="124A3E5E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4834FBF4" w14:textId="45475CA9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</w:tr>
      <w:tr w:rsidR="00B54956" w:rsidRPr="0058422B" w14:paraId="0F6D7FA9" w14:textId="77777777" w:rsidTr="003A4469">
        <w:tc>
          <w:tcPr>
            <w:tcW w:w="7020" w:type="dxa"/>
          </w:tcPr>
          <w:p w14:paraId="658037D0" w14:textId="77777777" w:rsidR="00B54956" w:rsidRPr="0058422B" w:rsidRDefault="00B54956" w:rsidP="00B54956">
            <w:pPr>
              <w:ind w:left="16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8422B">
              <w:rPr>
                <w:sz w:val="18"/>
                <w:szCs w:val="18"/>
              </w:rPr>
              <w:t>11. Ability to promote students’ comprehension of and use of evidence from informational text, including teaching students to: a. identify key ideas and details</w:t>
            </w:r>
            <w:r>
              <w:rPr>
                <w:sz w:val="18"/>
                <w:szCs w:val="18"/>
              </w:rPr>
              <w:t>,</w:t>
            </w:r>
            <w:r w:rsidRPr="0058422B">
              <w:rPr>
                <w:sz w:val="18"/>
                <w:szCs w:val="18"/>
              </w:rPr>
              <w:t xml:space="preserve"> b. determine the meaning of text language</w:t>
            </w:r>
            <w:r>
              <w:rPr>
                <w:sz w:val="18"/>
                <w:szCs w:val="18"/>
              </w:rPr>
              <w:t>,</w:t>
            </w:r>
            <w:r w:rsidRPr="0058422B">
              <w:rPr>
                <w:sz w:val="18"/>
                <w:szCs w:val="18"/>
              </w:rPr>
              <w:t xml:space="preserve"> c. analyze text structures and features</w:t>
            </w:r>
            <w:r>
              <w:rPr>
                <w:sz w:val="18"/>
                <w:szCs w:val="18"/>
              </w:rPr>
              <w:t>,</w:t>
            </w:r>
            <w:r w:rsidRPr="0058422B">
              <w:rPr>
                <w:sz w:val="18"/>
                <w:szCs w:val="18"/>
              </w:rPr>
              <w:t xml:space="preserve"> d. identify text purposes</w:t>
            </w:r>
            <w:r>
              <w:rPr>
                <w:sz w:val="18"/>
                <w:szCs w:val="18"/>
              </w:rPr>
              <w:t xml:space="preserve"> and biases,</w:t>
            </w:r>
            <w:r w:rsidRPr="0058422B">
              <w:rPr>
                <w:sz w:val="18"/>
                <w:szCs w:val="18"/>
              </w:rPr>
              <w:t xml:space="preserve"> e. interpret information presented in different formats and media</w:t>
            </w:r>
            <w:r>
              <w:rPr>
                <w:sz w:val="18"/>
                <w:szCs w:val="18"/>
              </w:rPr>
              <w:t>,</w:t>
            </w:r>
            <w:r w:rsidRPr="0058422B">
              <w:rPr>
                <w:sz w:val="18"/>
                <w:szCs w:val="18"/>
              </w:rPr>
              <w:t xml:space="preserve"> f. explain the author’s use of reasons and evidence to support particular points in the text</w:t>
            </w:r>
            <w:r>
              <w:rPr>
                <w:sz w:val="18"/>
                <w:szCs w:val="18"/>
              </w:rPr>
              <w:t>,</w:t>
            </w:r>
            <w:r w:rsidRPr="005842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</w:t>
            </w:r>
            <w:r w:rsidRPr="0058422B">
              <w:rPr>
                <w:sz w:val="18"/>
                <w:szCs w:val="18"/>
              </w:rPr>
              <w:t>g. compare and contrast information from two or more texts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30" w:type="dxa"/>
          </w:tcPr>
          <w:p w14:paraId="02EA0188" w14:textId="5DBAA84B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66495F26" w14:textId="5CD72A79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27D41D1C" w14:textId="45854D02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</w:tr>
      <w:tr w:rsidR="00B54956" w:rsidRPr="0058422B" w14:paraId="106EA073" w14:textId="77777777" w:rsidTr="003A4469">
        <w:tc>
          <w:tcPr>
            <w:tcW w:w="7020" w:type="dxa"/>
          </w:tcPr>
          <w:p w14:paraId="76C72A9E" w14:textId="77777777" w:rsidR="00B54956" w:rsidRPr="0058422B" w:rsidRDefault="00B54956" w:rsidP="00B54956">
            <w:pPr>
              <w:ind w:left="16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8422B">
              <w:rPr>
                <w:sz w:val="18"/>
                <w:szCs w:val="18"/>
              </w:rPr>
              <w:t>12. Ability to provide appropriate scaffolding for student reading of challenging text.</w:t>
            </w:r>
          </w:p>
        </w:tc>
        <w:tc>
          <w:tcPr>
            <w:tcW w:w="930" w:type="dxa"/>
          </w:tcPr>
          <w:p w14:paraId="484F9970" w14:textId="77777777" w:rsidR="000B7840" w:rsidRDefault="000B7840" w:rsidP="000B7840">
            <w:pPr>
              <w:rPr>
                <w:sz w:val="18"/>
                <w:szCs w:val="18"/>
              </w:rPr>
            </w:pPr>
          </w:p>
          <w:p w14:paraId="51BAE064" w14:textId="5E50440D" w:rsidR="000B7840" w:rsidRPr="0058422B" w:rsidRDefault="000B7840" w:rsidP="000B7840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093F32E0" w14:textId="531BA5D9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588F66FB" w14:textId="66B669BE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</w:tr>
      <w:tr w:rsidR="00B54956" w:rsidRPr="0058422B" w14:paraId="1DEB9536" w14:textId="77777777" w:rsidTr="003A4469">
        <w:trPr>
          <w:trHeight w:val="1682"/>
        </w:trPr>
        <w:tc>
          <w:tcPr>
            <w:tcW w:w="7020" w:type="dxa"/>
          </w:tcPr>
          <w:p w14:paraId="7F0E1984" w14:textId="77777777" w:rsidR="00B54956" w:rsidRPr="0058422B" w:rsidRDefault="00B54956" w:rsidP="00B54956">
            <w:pPr>
              <w:ind w:left="16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Pr="0058422B">
              <w:rPr>
                <w:sz w:val="18"/>
                <w:szCs w:val="18"/>
              </w:rPr>
              <w:t>13. Ability to teach students to write, including teaching students to: a. write a variety of text types for a variety of purposes, including writing that draws upon evidence from literary and informational texts</w:t>
            </w:r>
            <w:r>
              <w:rPr>
                <w:sz w:val="18"/>
                <w:szCs w:val="18"/>
              </w:rPr>
              <w:t>,</w:t>
            </w:r>
            <w:r w:rsidRPr="0058422B">
              <w:rPr>
                <w:sz w:val="18"/>
                <w:szCs w:val="18"/>
              </w:rPr>
              <w:t xml:space="preserve"> b. produce clear, coherent, organized writing appropriate to the task, purpose and audience</w:t>
            </w:r>
            <w:r>
              <w:rPr>
                <w:sz w:val="18"/>
                <w:szCs w:val="18"/>
              </w:rPr>
              <w:t>,</w:t>
            </w:r>
            <w:r w:rsidRPr="0058422B">
              <w:rPr>
                <w:sz w:val="18"/>
                <w:szCs w:val="18"/>
              </w:rPr>
              <w:t xml:space="preserve"> c. engage in planning, revising, editing, and rewriting</w:t>
            </w:r>
            <w:r>
              <w:rPr>
                <w:sz w:val="18"/>
                <w:szCs w:val="18"/>
              </w:rPr>
              <w:t>,</w:t>
            </w:r>
            <w:r w:rsidRPr="0058422B">
              <w:rPr>
                <w:sz w:val="18"/>
                <w:szCs w:val="18"/>
              </w:rPr>
              <w:t xml:space="preserve"> d. use technology to produce and publish writing and to interact and collaborate with others</w:t>
            </w:r>
            <w:r>
              <w:rPr>
                <w:sz w:val="18"/>
                <w:szCs w:val="18"/>
              </w:rPr>
              <w:t>,</w:t>
            </w:r>
            <w:r w:rsidRPr="0058422B">
              <w:rPr>
                <w:sz w:val="18"/>
                <w:szCs w:val="18"/>
              </w:rPr>
              <w:t xml:space="preserve"> e. conduct short as well as sustained research projects and present knowledge</w:t>
            </w:r>
            <w:r>
              <w:rPr>
                <w:sz w:val="18"/>
                <w:szCs w:val="18"/>
              </w:rPr>
              <w:t>,</w:t>
            </w:r>
            <w:r w:rsidRPr="0058422B">
              <w:rPr>
                <w:sz w:val="18"/>
                <w:szCs w:val="18"/>
              </w:rPr>
              <w:t xml:space="preserve"> f. write routinely over extended and shorter time frames for a range of discipline-specific tasks, purposes, and audiences.</w:t>
            </w:r>
          </w:p>
        </w:tc>
        <w:tc>
          <w:tcPr>
            <w:tcW w:w="930" w:type="dxa"/>
          </w:tcPr>
          <w:p w14:paraId="5AF5D091" w14:textId="7F039E26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234F2F02" w14:textId="48D708DF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2FCB1B85" w14:textId="7C7C3098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</w:tr>
      <w:tr w:rsidR="00B54956" w:rsidRPr="0058422B" w14:paraId="0C8BE35D" w14:textId="77777777" w:rsidTr="003A4469">
        <w:tc>
          <w:tcPr>
            <w:tcW w:w="7020" w:type="dxa"/>
          </w:tcPr>
          <w:p w14:paraId="71C7EE90" w14:textId="0CBD5A1F" w:rsidR="00B54956" w:rsidRPr="0058422B" w:rsidRDefault="00B54956" w:rsidP="00B54956">
            <w:pPr>
              <w:ind w:left="16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8422B">
              <w:rPr>
                <w:sz w:val="18"/>
                <w:szCs w:val="18"/>
              </w:rPr>
              <w:t>14. Ability to teach students to speak and listen, including teaching students to: a. prepare for and participate in a range of conversations and collaborations with diverse partners</w:t>
            </w:r>
            <w:r>
              <w:rPr>
                <w:sz w:val="18"/>
                <w:szCs w:val="18"/>
              </w:rPr>
              <w:t>,</w:t>
            </w:r>
            <w:r w:rsidRPr="005842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 w:rsidRPr="0058422B">
              <w:rPr>
                <w:sz w:val="18"/>
                <w:szCs w:val="18"/>
              </w:rPr>
              <w:t>b. integrate and evaluate information presented in diverse media and formats</w:t>
            </w:r>
            <w:r>
              <w:rPr>
                <w:sz w:val="18"/>
                <w:szCs w:val="18"/>
              </w:rPr>
              <w:t>,</w:t>
            </w:r>
            <w:r w:rsidRPr="0058422B">
              <w:rPr>
                <w:sz w:val="18"/>
                <w:szCs w:val="18"/>
              </w:rPr>
              <w:t xml:space="preserve"> c. ask and answer questions about information provided by a speaker</w:t>
            </w:r>
            <w:r>
              <w:rPr>
                <w:sz w:val="18"/>
                <w:szCs w:val="18"/>
              </w:rPr>
              <w:t>,</w:t>
            </w:r>
            <w:r w:rsidRPr="0058422B">
              <w:rPr>
                <w:sz w:val="18"/>
                <w:szCs w:val="18"/>
              </w:rPr>
              <w:t xml:space="preserve"> d. present information, both orally and using media or visual displays</w:t>
            </w:r>
            <w:r>
              <w:rPr>
                <w:sz w:val="18"/>
                <w:szCs w:val="18"/>
              </w:rPr>
              <w:t>,</w:t>
            </w:r>
            <w:r w:rsidRPr="0058422B">
              <w:rPr>
                <w:sz w:val="18"/>
                <w:szCs w:val="18"/>
              </w:rPr>
              <w:t xml:space="preserve"> e. use formal language in appropriate contexts.</w:t>
            </w:r>
          </w:p>
        </w:tc>
        <w:tc>
          <w:tcPr>
            <w:tcW w:w="930" w:type="dxa"/>
          </w:tcPr>
          <w:p w14:paraId="1E180220" w14:textId="43613267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1A164A30" w14:textId="02D76493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6428CEA1" w14:textId="1C3A1600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</w:tr>
      <w:tr w:rsidR="00B54956" w:rsidRPr="0058422B" w14:paraId="589E4EE5" w14:textId="77777777" w:rsidTr="003A4469">
        <w:tc>
          <w:tcPr>
            <w:tcW w:w="7020" w:type="dxa"/>
          </w:tcPr>
          <w:p w14:paraId="6D9E1756" w14:textId="77777777" w:rsidR="00B54956" w:rsidRPr="0058422B" w:rsidRDefault="00B54956" w:rsidP="00B54956">
            <w:pPr>
              <w:ind w:left="16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8422B">
              <w:rPr>
                <w:sz w:val="18"/>
                <w:szCs w:val="18"/>
              </w:rPr>
              <w:t>15. Ability to teach language, including: a. vocabulary, including general academic and domain-specific words and phrases</w:t>
            </w:r>
            <w:r>
              <w:rPr>
                <w:sz w:val="18"/>
                <w:szCs w:val="18"/>
              </w:rPr>
              <w:t>, b. standard English grammar, c. standard English capitalization, punctuation, and spelling. (Note: In dual immersion classes, candidates teach these aspects of language in the language of instruction.)</w:t>
            </w:r>
          </w:p>
        </w:tc>
        <w:tc>
          <w:tcPr>
            <w:tcW w:w="930" w:type="dxa"/>
          </w:tcPr>
          <w:p w14:paraId="64F2330E" w14:textId="7B6AB320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3A9D80D2" w14:textId="4766BB26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4763BEDF" w14:textId="4B2689A1" w:rsidR="00B54956" w:rsidRPr="0058422B" w:rsidRDefault="00B54956" w:rsidP="00B54956">
            <w:pPr>
              <w:rPr>
                <w:sz w:val="18"/>
                <w:szCs w:val="18"/>
              </w:rPr>
            </w:pPr>
          </w:p>
        </w:tc>
      </w:tr>
      <w:tr w:rsidR="00B54956" w:rsidRPr="0058422B" w14:paraId="269D75C6" w14:textId="77777777" w:rsidTr="003A4469">
        <w:tc>
          <w:tcPr>
            <w:tcW w:w="7020" w:type="dxa"/>
          </w:tcPr>
          <w:p w14:paraId="4C4597E2" w14:textId="77777777" w:rsidR="00B54956" w:rsidRPr="0058422B" w:rsidRDefault="00B54956" w:rsidP="00B54956">
            <w:pPr>
              <w:ind w:left="16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8422B">
              <w:rPr>
                <w:sz w:val="18"/>
                <w:szCs w:val="18"/>
              </w:rPr>
              <w:t xml:space="preserve">16. Knowledge of the different literacy demands of the disciplines and ability to teach </w:t>
            </w:r>
            <w:r>
              <w:rPr>
                <w:sz w:val="18"/>
                <w:szCs w:val="18"/>
              </w:rPr>
              <w:t>meaning making, academic language, and effective expression</w:t>
            </w:r>
            <w:r w:rsidRPr="0058422B">
              <w:rPr>
                <w:sz w:val="18"/>
                <w:szCs w:val="18"/>
              </w:rPr>
              <w:t xml:space="preserve"> in the content areas.</w:t>
            </w:r>
          </w:p>
        </w:tc>
        <w:tc>
          <w:tcPr>
            <w:tcW w:w="930" w:type="dxa"/>
          </w:tcPr>
          <w:p w14:paraId="24E09A23" w14:textId="207AC3C0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5785ECCE" w14:textId="20B4638F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47DA8E9A" w14:textId="435C3160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</w:tr>
      <w:tr w:rsidR="00B54956" w:rsidRPr="0058422B" w14:paraId="06542AE2" w14:textId="77777777" w:rsidTr="003A4469">
        <w:tc>
          <w:tcPr>
            <w:tcW w:w="7020" w:type="dxa"/>
          </w:tcPr>
          <w:p w14:paraId="01BBFFE1" w14:textId="77777777" w:rsidR="00B54956" w:rsidRPr="0058422B" w:rsidRDefault="00B54956" w:rsidP="00B54956">
            <w:pPr>
              <w:ind w:left="16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8422B">
              <w:rPr>
                <w:sz w:val="18"/>
                <w:szCs w:val="18"/>
              </w:rPr>
              <w:t>17. Knowledge of and ability to implement strategies for motivating students to progress in their literacy development, including promoting independent reading and creating a literacy-rich environment.</w:t>
            </w:r>
          </w:p>
        </w:tc>
        <w:tc>
          <w:tcPr>
            <w:tcW w:w="930" w:type="dxa"/>
          </w:tcPr>
          <w:p w14:paraId="24541123" w14:textId="222A3141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4822409C" w14:textId="0316F10D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651589CB" w14:textId="42DF1434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</w:tr>
      <w:tr w:rsidR="00B54956" w:rsidRPr="0058422B" w14:paraId="1D0E8EB3" w14:textId="77777777" w:rsidTr="003A4469">
        <w:tc>
          <w:tcPr>
            <w:tcW w:w="7020" w:type="dxa"/>
          </w:tcPr>
          <w:p w14:paraId="65FDD66C" w14:textId="77777777" w:rsidR="00B54956" w:rsidRPr="0058422B" w:rsidRDefault="00B54956" w:rsidP="00B54956">
            <w:pPr>
              <w:ind w:left="16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8422B">
              <w:rPr>
                <w:sz w:val="18"/>
                <w:szCs w:val="18"/>
              </w:rPr>
              <w:t xml:space="preserve">18. Ability to use a range of instructional materials, including </w:t>
            </w:r>
            <w:r>
              <w:rPr>
                <w:sz w:val="18"/>
                <w:szCs w:val="18"/>
              </w:rPr>
              <w:t>standards-aligned</w:t>
            </w:r>
            <w:r w:rsidRPr="0058422B">
              <w:rPr>
                <w:sz w:val="18"/>
                <w:szCs w:val="18"/>
              </w:rPr>
              <w:t xml:space="preserve"> materials for instruction and intervention, high quality literature, and </w:t>
            </w:r>
            <w:r>
              <w:rPr>
                <w:sz w:val="18"/>
                <w:szCs w:val="18"/>
              </w:rPr>
              <w:t>informational</w:t>
            </w:r>
            <w:r w:rsidRPr="0058422B">
              <w:rPr>
                <w:sz w:val="18"/>
                <w:szCs w:val="18"/>
              </w:rPr>
              <w:t xml:space="preserve"> texts, all of which </w:t>
            </w:r>
            <w:r>
              <w:rPr>
                <w:sz w:val="18"/>
                <w:szCs w:val="18"/>
              </w:rPr>
              <w:t xml:space="preserve">accurately and respectfully </w:t>
            </w:r>
            <w:r w:rsidRPr="0058422B">
              <w:rPr>
                <w:sz w:val="18"/>
                <w:szCs w:val="18"/>
              </w:rPr>
              <w:t xml:space="preserve">reflect </w:t>
            </w:r>
            <w:r>
              <w:rPr>
                <w:sz w:val="18"/>
                <w:szCs w:val="18"/>
              </w:rPr>
              <w:t>human</w:t>
            </w:r>
            <w:r w:rsidRPr="0058422B">
              <w:rPr>
                <w:sz w:val="18"/>
                <w:szCs w:val="18"/>
              </w:rPr>
              <w:t xml:space="preserve"> diversity.</w:t>
            </w:r>
          </w:p>
        </w:tc>
        <w:tc>
          <w:tcPr>
            <w:tcW w:w="930" w:type="dxa"/>
          </w:tcPr>
          <w:p w14:paraId="5617E186" w14:textId="47B04090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6D33A7EB" w14:textId="4FA9BCC3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71BDE531" w14:textId="3DBB669F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</w:tr>
      <w:tr w:rsidR="00B54956" w:rsidRPr="0058422B" w14:paraId="55183B30" w14:textId="77777777" w:rsidTr="003A4469">
        <w:tc>
          <w:tcPr>
            <w:tcW w:w="7020" w:type="dxa"/>
          </w:tcPr>
          <w:p w14:paraId="52853348" w14:textId="77777777" w:rsidR="00B54956" w:rsidRPr="0058422B" w:rsidRDefault="00B54956" w:rsidP="00B54956">
            <w:pPr>
              <w:ind w:left="16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8422B">
              <w:rPr>
                <w:sz w:val="18"/>
                <w:szCs w:val="18"/>
              </w:rPr>
              <w:t>19. Ability to u</w:t>
            </w:r>
            <w:r>
              <w:rPr>
                <w:sz w:val="18"/>
                <w:szCs w:val="18"/>
              </w:rPr>
              <w:t>se</w:t>
            </w:r>
            <w:r w:rsidRPr="0058422B">
              <w:rPr>
                <w:sz w:val="18"/>
                <w:szCs w:val="18"/>
              </w:rPr>
              <w:t xml:space="preserve"> assessments (both informal and formal) to determine students’ progress and plan appropriate instruction based on the results.</w:t>
            </w:r>
          </w:p>
        </w:tc>
        <w:tc>
          <w:tcPr>
            <w:tcW w:w="930" w:type="dxa"/>
          </w:tcPr>
          <w:p w14:paraId="5B0D2B38" w14:textId="595CBD2C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233FE9EC" w14:textId="55D231E6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65FDCFC2" w14:textId="7BD13A7D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</w:tr>
      <w:tr w:rsidR="00B54956" w:rsidRPr="0058422B" w14:paraId="6A57A830" w14:textId="77777777" w:rsidTr="003A4469">
        <w:tc>
          <w:tcPr>
            <w:tcW w:w="7020" w:type="dxa"/>
          </w:tcPr>
          <w:p w14:paraId="1DA387FE" w14:textId="77777777" w:rsidR="00B54956" w:rsidRPr="0058422B" w:rsidRDefault="00B54956" w:rsidP="00B54956">
            <w:pPr>
              <w:ind w:left="16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8422B">
              <w:rPr>
                <w:sz w:val="18"/>
                <w:szCs w:val="18"/>
              </w:rPr>
              <w:t>20. Knowledge of how to organize and manage instruction to meet the needs of the full range of learners (e.g., whole class instruction, flexible grouping, individualized instruction).</w:t>
            </w:r>
          </w:p>
        </w:tc>
        <w:tc>
          <w:tcPr>
            <w:tcW w:w="930" w:type="dxa"/>
          </w:tcPr>
          <w:p w14:paraId="25A4CFCD" w14:textId="24BDC9DE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3EC4AB9D" w14:textId="1FF61840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19F86C19" w14:textId="3F0D177B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</w:tr>
      <w:tr w:rsidR="00B54956" w:rsidRPr="0058422B" w14:paraId="1EFA3C38" w14:textId="77777777" w:rsidTr="003A4469">
        <w:tc>
          <w:tcPr>
            <w:tcW w:w="7020" w:type="dxa"/>
          </w:tcPr>
          <w:p w14:paraId="3FDC209D" w14:textId="77777777" w:rsidR="00B54956" w:rsidRPr="0058422B" w:rsidRDefault="00B54956" w:rsidP="00B54956">
            <w:pPr>
              <w:ind w:left="16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8422B">
              <w:rPr>
                <w:sz w:val="18"/>
                <w:szCs w:val="18"/>
              </w:rPr>
              <w:t xml:space="preserve">21. Attendance at one meeting of a professional organization (e.g., OCRA, CRA, IRA, CABE) where the teaching of language arts is </w:t>
            </w:r>
            <w:r>
              <w:rPr>
                <w:sz w:val="18"/>
                <w:szCs w:val="18"/>
              </w:rPr>
              <w:t>a primary focus</w:t>
            </w:r>
            <w:r w:rsidRPr="0058422B">
              <w:rPr>
                <w:sz w:val="18"/>
                <w:szCs w:val="18"/>
              </w:rPr>
              <w:t>.</w:t>
            </w:r>
          </w:p>
        </w:tc>
        <w:tc>
          <w:tcPr>
            <w:tcW w:w="930" w:type="dxa"/>
          </w:tcPr>
          <w:p w14:paraId="7ADC0571" w14:textId="744AA76B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65C9BB28" w14:textId="265B2794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30" w:type="dxa"/>
          </w:tcPr>
          <w:p w14:paraId="071DD828" w14:textId="120A2BF0" w:rsidR="00B54956" w:rsidRPr="0058422B" w:rsidRDefault="00B54956" w:rsidP="00B5495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58A8281" w14:textId="68075499" w:rsidR="00614BB5" w:rsidRDefault="00614BB5" w:rsidP="0089252F">
      <w:pPr>
        <w:rPr>
          <w:b/>
        </w:rPr>
      </w:pPr>
      <w:r>
        <w:rPr>
          <w:b/>
        </w:rPr>
        <w:t>Signatures</w:t>
      </w:r>
    </w:p>
    <w:p w14:paraId="3DBE0BD6" w14:textId="77777777" w:rsidR="0089252F" w:rsidRPr="00702353" w:rsidRDefault="0089252F" w:rsidP="0089252F">
      <w:r w:rsidRPr="00702353">
        <w:t>_____________________________________________________________________________________University Instructor</w:t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  <w:t>Date</w:t>
      </w:r>
    </w:p>
    <w:p w14:paraId="3ED8DC45" w14:textId="77777777" w:rsidR="0089252F" w:rsidRPr="00702353" w:rsidRDefault="0089252F" w:rsidP="0089252F">
      <w:r w:rsidRPr="00702353">
        <w:t xml:space="preserve">_____________________________________________________________________________________Mentor Teacher – </w:t>
      </w:r>
      <w:r w:rsidR="0098074E">
        <w:t>Placement</w:t>
      </w:r>
      <w:r w:rsidRPr="00702353">
        <w:t xml:space="preserve"> 1</w:t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  <w:t>Date</w:t>
      </w:r>
    </w:p>
    <w:p w14:paraId="20872081" w14:textId="77777777" w:rsidR="0089252F" w:rsidRPr="00702353" w:rsidRDefault="0089252F" w:rsidP="0089252F">
      <w:r w:rsidRPr="00702353">
        <w:t xml:space="preserve">_____________________________________________________________________________________ Mentor Teacher – </w:t>
      </w:r>
      <w:r w:rsidR="0098074E">
        <w:t>Placement</w:t>
      </w:r>
      <w:r w:rsidRPr="00702353">
        <w:t xml:space="preserve"> 2</w:t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  <w:t>Date</w:t>
      </w:r>
    </w:p>
    <w:p w14:paraId="7AF6BBBE" w14:textId="2C122977" w:rsidR="0089252F" w:rsidRPr="00702353" w:rsidRDefault="0089252F" w:rsidP="0089252F">
      <w:r w:rsidRPr="00702353">
        <w:t xml:space="preserve">_____________________________________________________________________________________Clinical Coach – </w:t>
      </w:r>
      <w:r w:rsidR="006554B9">
        <w:t>Placement</w:t>
      </w:r>
      <w:r w:rsidR="006554B9" w:rsidRPr="00702353">
        <w:t xml:space="preserve"> 1</w:t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  <w:t>Date</w:t>
      </w:r>
    </w:p>
    <w:p w14:paraId="668D61C8" w14:textId="77777777" w:rsidR="0089252F" w:rsidRPr="00702353" w:rsidRDefault="0089252F" w:rsidP="0089252F">
      <w:r w:rsidRPr="00702353">
        <w:t xml:space="preserve">_____________________________________________________________________________________ Clinical Coach – </w:t>
      </w:r>
      <w:r w:rsidR="0098074E">
        <w:t>Placement</w:t>
      </w:r>
      <w:r w:rsidRPr="00702353">
        <w:t xml:space="preserve"> 2</w:t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  <w:t>Date</w:t>
      </w:r>
    </w:p>
    <w:p w14:paraId="07C37FF3" w14:textId="537A875C" w:rsidR="00614BB5" w:rsidRDefault="0089252F">
      <w:r w:rsidRPr="00702353">
        <w:t>_____________________________________________________________________________________Teacher Candidate</w:t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</w:r>
      <w:r w:rsidRPr="00702353">
        <w:tab/>
        <w:t>Date</w:t>
      </w: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020"/>
        <w:gridCol w:w="930"/>
        <w:gridCol w:w="930"/>
        <w:gridCol w:w="930"/>
      </w:tblGrid>
      <w:tr w:rsidR="00614BB5" w:rsidRPr="0058422B" w14:paraId="227DECDE" w14:textId="77777777" w:rsidTr="000F1879">
        <w:tc>
          <w:tcPr>
            <w:tcW w:w="7020" w:type="dxa"/>
          </w:tcPr>
          <w:p w14:paraId="16E52760" w14:textId="48143ABF" w:rsidR="00B54956" w:rsidRPr="00B54956" w:rsidRDefault="00A454C0" w:rsidP="000F187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Placement 2</w:t>
            </w:r>
            <w:r w:rsidR="00614BB5">
              <w:rPr>
                <w:b/>
                <w:sz w:val="18"/>
                <w:szCs w:val="18"/>
              </w:rPr>
              <w:t xml:space="preserve"> - Only if</w:t>
            </w:r>
            <w:r w:rsidR="00614BB5" w:rsidRPr="0058422B">
              <w:rPr>
                <w:b/>
                <w:sz w:val="18"/>
                <w:szCs w:val="18"/>
              </w:rPr>
              <w:t xml:space="preserve"> both placements are third grade and above</w:t>
            </w:r>
            <w:r w:rsidR="00614BB5">
              <w:rPr>
                <w:b/>
                <w:sz w:val="18"/>
                <w:szCs w:val="18"/>
              </w:rPr>
              <w:t>, if third grade is the primary grade placement, verify the following</w:t>
            </w:r>
            <w:r w:rsidR="00614BB5" w:rsidRPr="0058422B">
              <w:rPr>
                <w:b/>
                <w:sz w:val="18"/>
                <w:szCs w:val="18"/>
              </w:rPr>
              <w:t>.</w:t>
            </w:r>
            <w:r w:rsidR="00614BB5">
              <w:rPr>
                <w:b/>
                <w:sz w:val="18"/>
                <w:szCs w:val="18"/>
              </w:rPr>
              <w:t xml:space="preserve"> </w:t>
            </w:r>
            <w:r w:rsidR="00614BB5" w:rsidRPr="00A454C0">
              <w:rPr>
                <w:b/>
                <w:sz w:val="18"/>
                <w:szCs w:val="18"/>
                <w:highlight w:val="yellow"/>
              </w:rPr>
              <w:t>***Otherwise, leave this section blank.</w:t>
            </w:r>
          </w:p>
        </w:tc>
        <w:tc>
          <w:tcPr>
            <w:tcW w:w="930" w:type="dxa"/>
          </w:tcPr>
          <w:p w14:paraId="70244B3D" w14:textId="77777777" w:rsidR="00614BB5" w:rsidRPr="003727BB" w:rsidRDefault="00614BB5" w:rsidP="000F1879">
            <w:pPr>
              <w:jc w:val="center"/>
              <w:rPr>
                <w:b/>
                <w:sz w:val="16"/>
                <w:szCs w:val="16"/>
              </w:rPr>
            </w:pPr>
            <w:r w:rsidRPr="003727BB">
              <w:rPr>
                <w:b/>
                <w:sz w:val="16"/>
                <w:szCs w:val="16"/>
              </w:rPr>
              <w:t>Clinical Coach</w:t>
            </w:r>
          </w:p>
        </w:tc>
        <w:tc>
          <w:tcPr>
            <w:tcW w:w="930" w:type="dxa"/>
          </w:tcPr>
          <w:p w14:paraId="3B675A4C" w14:textId="77777777" w:rsidR="00614BB5" w:rsidRPr="003727BB" w:rsidRDefault="00614BB5" w:rsidP="000F1879">
            <w:pPr>
              <w:jc w:val="center"/>
              <w:rPr>
                <w:b/>
                <w:sz w:val="16"/>
                <w:szCs w:val="16"/>
              </w:rPr>
            </w:pPr>
            <w:r w:rsidRPr="003727BB">
              <w:rPr>
                <w:b/>
                <w:sz w:val="16"/>
                <w:szCs w:val="16"/>
              </w:rPr>
              <w:t>Mentor Teacher</w:t>
            </w:r>
          </w:p>
        </w:tc>
        <w:tc>
          <w:tcPr>
            <w:tcW w:w="930" w:type="dxa"/>
          </w:tcPr>
          <w:p w14:paraId="06FFE842" w14:textId="77777777" w:rsidR="00614BB5" w:rsidRPr="003727BB" w:rsidRDefault="00614BB5" w:rsidP="000F1879">
            <w:pPr>
              <w:jc w:val="center"/>
              <w:rPr>
                <w:b/>
                <w:sz w:val="16"/>
                <w:szCs w:val="16"/>
              </w:rPr>
            </w:pPr>
            <w:r w:rsidRPr="003727BB">
              <w:rPr>
                <w:b/>
                <w:sz w:val="16"/>
                <w:szCs w:val="16"/>
              </w:rPr>
              <w:t>Teacher Candidate</w:t>
            </w:r>
          </w:p>
        </w:tc>
      </w:tr>
      <w:tr w:rsidR="00614BB5" w:rsidRPr="0058422B" w14:paraId="3058AB85" w14:textId="77777777" w:rsidTr="000F1879">
        <w:tc>
          <w:tcPr>
            <w:tcW w:w="7020" w:type="dxa"/>
          </w:tcPr>
          <w:p w14:paraId="53F4BFAA" w14:textId="77777777" w:rsidR="00614BB5" w:rsidRPr="0058422B" w:rsidRDefault="00614BB5" w:rsidP="000F1879">
            <w:pPr>
              <w:rPr>
                <w:sz w:val="18"/>
                <w:szCs w:val="18"/>
              </w:rPr>
            </w:pPr>
            <w:r w:rsidRPr="0058422B">
              <w:rPr>
                <w:sz w:val="18"/>
                <w:szCs w:val="18"/>
              </w:rPr>
              <w:t>The teacher candidate had extended opportunities to observe and participate in beginning reading instruction and early literacy practices (for example</w:t>
            </w:r>
            <w:r>
              <w:rPr>
                <w:sz w:val="18"/>
                <w:szCs w:val="18"/>
              </w:rPr>
              <w:t>,</w:t>
            </w:r>
            <w:r w:rsidRPr="0058422B">
              <w:rPr>
                <w:sz w:val="18"/>
                <w:szCs w:val="18"/>
              </w:rPr>
              <w:t xml:space="preserve"> in a first-grade classroom).</w:t>
            </w:r>
          </w:p>
        </w:tc>
        <w:tc>
          <w:tcPr>
            <w:tcW w:w="930" w:type="dxa"/>
          </w:tcPr>
          <w:p w14:paraId="6F69AD61" w14:textId="0EF8C40F" w:rsidR="00614BB5" w:rsidRPr="0058422B" w:rsidRDefault="00614BB5" w:rsidP="000F1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442D4D29" w14:textId="7886231A" w:rsidR="00614BB5" w:rsidRPr="0058422B" w:rsidRDefault="00614BB5" w:rsidP="000F1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18F5FF87" w14:textId="4CFD8A5D" w:rsidR="00614BB5" w:rsidRPr="0058422B" w:rsidRDefault="00614BB5" w:rsidP="000F187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4CA7B32" w14:textId="3E5E0B1D" w:rsidR="00614BB5" w:rsidRDefault="00614BB5" w:rsidP="00614BB5"/>
    <w:sectPr w:rsidR="00614BB5" w:rsidSect="003A4469">
      <w:headerReference w:type="default" r:id="rId6"/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97A3" w14:textId="77777777" w:rsidR="0095387A" w:rsidRDefault="0095387A" w:rsidP="003A4469">
      <w:pPr>
        <w:spacing w:after="0" w:line="240" w:lineRule="auto"/>
      </w:pPr>
      <w:r>
        <w:separator/>
      </w:r>
    </w:p>
  </w:endnote>
  <w:endnote w:type="continuationSeparator" w:id="0">
    <w:p w14:paraId="34674497" w14:textId="77777777" w:rsidR="0095387A" w:rsidRDefault="0095387A" w:rsidP="003A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124E" w14:textId="1D886D96" w:rsidR="00B54956" w:rsidRPr="003A4469" w:rsidRDefault="003A4469" w:rsidP="00B54956">
    <w:pPr>
      <w:pStyle w:val="Footer"/>
      <w:ind w:left="-270"/>
      <w:rPr>
        <w:sz w:val="16"/>
        <w:szCs w:val="16"/>
      </w:rPr>
    </w:pPr>
    <w:r>
      <w:rPr>
        <w:sz w:val="16"/>
        <w:szCs w:val="16"/>
      </w:rPr>
      <w:t xml:space="preserve">Rev. </w:t>
    </w:r>
    <w:r w:rsidR="007F3974">
      <w:rPr>
        <w:sz w:val="16"/>
        <w:szCs w:val="16"/>
      </w:rPr>
      <w:t>1</w:t>
    </w:r>
    <w:r>
      <w:rPr>
        <w:sz w:val="16"/>
        <w:szCs w:val="16"/>
      </w:rPr>
      <w:t>/20</w:t>
    </w:r>
    <w:r w:rsidR="0005774C">
      <w:rPr>
        <w:sz w:val="16"/>
        <w:szCs w:val="16"/>
      </w:rPr>
      <w:t>2</w:t>
    </w:r>
    <w:r w:rsidR="00B54956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4BC4" w14:textId="77777777" w:rsidR="0095387A" w:rsidRDefault="0095387A" w:rsidP="003A4469">
      <w:pPr>
        <w:spacing w:after="0" w:line="240" w:lineRule="auto"/>
      </w:pPr>
      <w:r>
        <w:separator/>
      </w:r>
    </w:p>
  </w:footnote>
  <w:footnote w:type="continuationSeparator" w:id="0">
    <w:p w14:paraId="180D0985" w14:textId="77777777" w:rsidR="0095387A" w:rsidRDefault="0095387A" w:rsidP="003A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FE92" w14:textId="77777777" w:rsidR="003A4469" w:rsidRDefault="003A4469" w:rsidP="003A446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2F"/>
    <w:rsid w:val="0005774C"/>
    <w:rsid w:val="000A31B7"/>
    <w:rsid w:val="000B7840"/>
    <w:rsid w:val="00243CEC"/>
    <w:rsid w:val="0031773D"/>
    <w:rsid w:val="003727BB"/>
    <w:rsid w:val="003764A3"/>
    <w:rsid w:val="003A4469"/>
    <w:rsid w:val="00496E77"/>
    <w:rsid w:val="004A03FD"/>
    <w:rsid w:val="005B5687"/>
    <w:rsid w:val="00614BB5"/>
    <w:rsid w:val="00645398"/>
    <w:rsid w:val="00646BC8"/>
    <w:rsid w:val="006554B9"/>
    <w:rsid w:val="007D6C41"/>
    <w:rsid w:val="007F3974"/>
    <w:rsid w:val="0089252F"/>
    <w:rsid w:val="00896C27"/>
    <w:rsid w:val="008A385D"/>
    <w:rsid w:val="0095387A"/>
    <w:rsid w:val="0098074E"/>
    <w:rsid w:val="00A454C0"/>
    <w:rsid w:val="00AD516C"/>
    <w:rsid w:val="00B54956"/>
    <w:rsid w:val="00C25384"/>
    <w:rsid w:val="00CA61D7"/>
    <w:rsid w:val="00D47904"/>
    <w:rsid w:val="00E5598D"/>
    <w:rsid w:val="00F06DCB"/>
    <w:rsid w:val="00F75B6F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8E6C"/>
  <w15:docId w15:val="{F4BE4329-6344-4237-AC59-18F0DA53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892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52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69"/>
  </w:style>
  <w:style w:type="paragraph" w:styleId="Footer">
    <w:name w:val="footer"/>
    <w:basedOn w:val="Normal"/>
    <w:link w:val="FooterChar"/>
    <w:uiPriority w:val="99"/>
    <w:unhideWhenUsed/>
    <w:rsid w:val="003A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69"/>
  </w:style>
  <w:style w:type="paragraph" w:styleId="BalloonText">
    <w:name w:val="Balloon Text"/>
    <w:basedOn w:val="Normal"/>
    <w:link w:val="BalloonTextChar"/>
    <w:uiPriority w:val="99"/>
    <w:semiHidden/>
    <w:unhideWhenUsed/>
    <w:rsid w:val="003A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Futami, Kimberly</cp:lastModifiedBy>
  <cp:revision>2</cp:revision>
  <cp:lastPrinted>2019-08-14T06:40:00Z</cp:lastPrinted>
  <dcterms:created xsi:type="dcterms:W3CDTF">2023-03-29T22:23:00Z</dcterms:created>
  <dcterms:modified xsi:type="dcterms:W3CDTF">2023-03-29T22:23:00Z</dcterms:modified>
</cp:coreProperties>
</file>